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43" w:rsidRDefault="00D86B43" w:rsidP="00D86B43">
      <w:pPr>
        <w:ind w:left="242"/>
        <w:jc w:val="center"/>
        <w:rPr>
          <w:rFonts w:ascii="仿宋_GB2312" w:eastAsia="仿宋_GB2312" w:hAnsi="黑体" w:hint="eastAsia"/>
          <w:b/>
          <w:sz w:val="32"/>
          <w:szCs w:val="32"/>
        </w:rPr>
      </w:pPr>
      <w:r w:rsidRPr="00D86B43">
        <w:rPr>
          <w:rFonts w:ascii="仿宋_GB2312" w:eastAsia="仿宋_GB2312" w:hAnsi="黑体" w:hint="eastAsia"/>
          <w:b/>
          <w:sz w:val="32"/>
          <w:szCs w:val="32"/>
        </w:rPr>
        <w:t>选派项目信息及相关报名要求</w:t>
      </w:r>
    </w:p>
    <w:p w:rsidR="00D86B43" w:rsidRPr="00D86B43" w:rsidRDefault="00D86B43" w:rsidP="00D86B43">
      <w:pPr>
        <w:ind w:left="242"/>
        <w:jc w:val="center"/>
        <w:rPr>
          <w:rFonts w:ascii="仿宋_GB2312" w:eastAsia="仿宋_GB2312" w:hAnsi="黑体"/>
          <w:b/>
          <w:sz w:val="32"/>
          <w:szCs w:val="32"/>
        </w:rPr>
      </w:pPr>
    </w:p>
    <w:tbl>
      <w:tblPr>
        <w:tblStyle w:val="a5"/>
        <w:tblW w:w="580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986"/>
        <w:gridCol w:w="848"/>
        <w:gridCol w:w="1417"/>
        <w:gridCol w:w="2128"/>
        <w:gridCol w:w="2345"/>
        <w:gridCol w:w="1888"/>
        <w:gridCol w:w="1647"/>
        <w:gridCol w:w="2483"/>
        <w:gridCol w:w="1700"/>
      </w:tblGrid>
      <w:tr w:rsidR="00D86B43" w:rsidTr="00D86B43">
        <w:tc>
          <w:tcPr>
            <w:tcW w:w="604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项目</w:t>
            </w: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名称</w:t>
            </w:r>
          </w:p>
        </w:tc>
        <w:tc>
          <w:tcPr>
            <w:tcW w:w="258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名额</w:t>
            </w:r>
          </w:p>
        </w:tc>
        <w:tc>
          <w:tcPr>
            <w:tcW w:w="431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b/>
                <w:sz w:val="22"/>
                <w:szCs w:val="32"/>
              </w:rPr>
              <w:t>海外学习时间</w:t>
            </w:r>
          </w:p>
        </w:tc>
        <w:tc>
          <w:tcPr>
            <w:tcW w:w="647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外方大学开放专业</w:t>
            </w:r>
          </w:p>
        </w:tc>
        <w:tc>
          <w:tcPr>
            <w:tcW w:w="713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选拔</w:t>
            </w: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对象</w:t>
            </w:r>
          </w:p>
        </w:tc>
        <w:tc>
          <w:tcPr>
            <w:tcW w:w="574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语言成绩要求</w:t>
            </w:r>
          </w:p>
        </w:tc>
        <w:tc>
          <w:tcPr>
            <w:tcW w:w="501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b/>
                <w:sz w:val="22"/>
                <w:szCs w:val="32"/>
              </w:rPr>
              <w:t>外方</w:t>
            </w: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大学学费</w:t>
            </w:r>
          </w:p>
        </w:tc>
        <w:tc>
          <w:tcPr>
            <w:tcW w:w="755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相关网站</w:t>
            </w:r>
          </w:p>
        </w:tc>
        <w:tc>
          <w:tcPr>
            <w:tcW w:w="517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b/>
                <w:sz w:val="22"/>
                <w:szCs w:val="32"/>
              </w:rPr>
              <w:t>备注</w:t>
            </w: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西班牙马德里理工大学学期交换项目</w:t>
            </w:r>
          </w:p>
        </w:tc>
        <w:tc>
          <w:tcPr>
            <w:tcW w:w="258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4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一学期</w:t>
            </w:r>
          </w:p>
        </w:tc>
        <w:tc>
          <w:tcPr>
            <w:tcW w:w="64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建筑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与</w:t>
            </w:r>
            <w:r w:rsidRPr="000B1EA1">
              <w:rPr>
                <w:rFonts w:ascii="仿宋_GB2312" w:eastAsia="仿宋_GB2312" w:hAnsi="黑体"/>
                <w:sz w:val="22"/>
                <w:szCs w:val="32"/>
              </w:rPr>
              <w:t>城市规划</w:t>
            </w:r>
          </w:p>
        </w:tc>
        <w:tc>
          <w:tcPr>
            <w:tcW w:w="713" w:type="pct"/>
          </w:tcPr>
          <w:p w:rsidR="00D86B43" w:rsidRDefault="00D86B43" w:rsidP="00B67F31">
            <w:pPr>
              <w:spacing w:line="300" w:lineRule="exact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本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科2016、2017、2018级，硕士2018级，博士2017、2018级</w:t>
            </w:r>
            <w:r w:rsidRPr="00B81281">
              <w:rPr>
                <w:rFonts w:ascii="仿宋_GB2312" w:eastAsia="仿宋_GB2312" w:hAnsi="黑体" w:hint="eastAsia"/>
                <w:sz w:val="22"/>
                <w:szCs w:val="32"/>
              </w:rPr>
              <w:t>建筑学、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城乡规划</w:t>
            </w:r>
            <w:r w:rsidRPr="00B81281">
              <w:rPr>
                <w:rFonts w:ascii="仿宋_GB2312" w:eastAsia="仿宋_GB2312" w:hAnsi="黑体" w:hint="eastAsia"/>
                <w:sz w:val="22"/>
                <w:szCs w:val="32"/>
              </w:rPr>
              <w:t>学、风景园林学专业学生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 w:rsidRPr="000B1EA1">
              <w:rPr>
                <w:rFonts w:ascii="仿宋_GB2312" w:eastAsia="仿宋_GB2312" w:hAnsi="黑体"/>
                <w:sz w:val="22"/>
                <w:szCs w:val="32"/>
              </w:rPr>
              <w:t>雅思</w:t>
            </w:r>
            <w:proofErr w:type="gramEnd"/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6.5分及以上，或托福85分及以上</w:t>
            </w: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免学费</w:t>
            </w:r>
          </w:p>
        </w:tc>
        <w:tc>
          <w:tcPr>
            <w:tcW w:w="755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565B3C">
              <w:rPr>
                <w:rFonts w:ascii="仿宋_GB2312" w:eastAsia="仿宋_GB2312" w:hAnsi="黑体"/>
                <w:sz w:val="22"/>
                <w:szCs w:val="32"/>
              </w:rPr>
              <w:t>https://www.upm.es/</w:t>
            </w:r>
          </w:p>
        </w:tc>
        <w:tc>
          <w:tcPr>
            <w:tcW w:w="517" w:type="pct"/>
          </w:tcPr>
          <w:p w:rsidR="00D86B43" w:rsidRPr="000B1EA1" w:rsidRDefault="00D86B43" w:rsidP="00B67F31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未开设全英文授课理论课程。建议学生选择建筑设计或工作坊形式的课程</w:t>
            </w:r>
            <w:r w:rsidRPr="008B462A">
              <w:rPr>
                <w:rFonts w:ascii="仿宋_GB2312" w:eastAsia="仿宋_GB2312" w:hAnsi="黑体" w:hint="eastAsia"/>
                <w:sz w:val="22"/>
                <w:szCs w:val="32"/>
              </w:rPr>
              <w:t>，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此类课程授课</w:t>
            </w:r>
            <w:r w:rsidRPr="008B462A">
              <w:rPr>
                <w:rFonts w:ascii="仿宋_GB2312" w:eastAsia="仿宋_GB2312" w:hAnsi="黑体" w:hint="eastAsia"/>
                <w:sz w:val="22"/>
                <w:szCs w:val="32"/>
              </w:rPr>
              <w:t>及考试采用全英文</w:t>
            </w: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意大利米兰理工大学学期交换项目</w:t>
            </w:r>
          </w:p>
        </w:tc>
        <w:tc>
          <w:tcPr>
            <w:tcW w:w="258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4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一学期或</w:t>
            </w:r>
            <w:proofErr w:type="gramStart"/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一</w:t>
            </w:r>
            <w:proofErr w:type="gramEnd"/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学年（自选）</w:t>
            </w:r>
          </w:p>
        </w:tc>
        <w:tc>
          <w:tcPr>
            <w:tcW w:w="647" w:type="pct"/>
          </w:tcPr>
          <w:p w:rsidR="00D86B43" w:rsidRPr="00AB33ED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color w:val="000000" w:themeColor="text1"/>
                <w:sz w:val="22"/>
                <w:szCs w:val="32"/>
              </w:rPr>
            </w:pPr>
          </w:p>
          <w:p w:rsidR="00D86B43" w:rsidRPr="00AB33ED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color w:val="000000" w:themeColor="text1"/>
                <w:sz w:val="22"/>
                <w:szCs w:val="32"/>
              </w:rPr>
            </w:pPr>
          </w:p>
          <w:p w:rsidR="00D86B43" w:rsidRPr="00AB33ED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color w:val="000000" w:themeColor="text1"/>
                <w:sz w:val="22"/>
                <w:szCs w:val="32"/>
              </w:rPr>
            </w:pPr>
          </w:p>
          <w:p w:rsidR="00D86B43" w:rsidRPr="00AB33ED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color w:val="000000" w:themeColor="text1"/>
                <w:sz w:val="22"/>
                <w:szCs w:val="32"/>
              </w:rPr>
            </w:pPr>
            <w:r w:rsidRPr="00AB33ED">
              <w:rPr>
                <w:rFonts w:ascii="仿宋_GB2312" w:eastAsia="仿宋_GB2312" w:hAnsi="黑体"/>
                <w:color w:val="000000" w:themeColor="text1"/>
                <w:sz w:val="22"/>
                <w:szCs w:val="32"/>
              </w:rPr>
              <w:t>建筑学</w:t>
            </w:r>
          </w:p>
        </w:tc>
        <w:tc>
          <w:tcPr>
            <w:tcW w:w="713" w:type="pct"/>
          </w:tcPr>
          <w:p w:rsidR="00D86B43" w:rsidRPr="007D26D7" w:rsidRDefault="00D86B43" w:rsidP="00B67F31">
            <w:pPr>
              <w:spacing w:line="300" w:lineRule="exact"/>
              <w:rPr>
                <w:rFonts w:ascii="仿宋_GB2312" w:eastAsia="仿宋_GB2312" w:hAnsi="黑体"/>
                <w:color w:val="FF0000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rPr>
                <w:rFonts w:ascii="仿宋_GB2312" w:eastAsia="仿宋_GB2312" w:hAnsi="黑体" w:hint="eastAsia"/>
                <w:color w:val="000000" w:themeColor="text1"/>
                <w:sz w:val="22"/>
                <w:szCs w:val="32"/>
              </w:rPr>
            </w:pPr>
          </w:p>
          <w:p w:rsidR="00D86B43" w:rsidRPr="007D26D7" w:rsidRDefault="00D86B43" w:rsidP="00B67F31">
            <w:pPr>
              <w:spacing w:line="300" w:lineRule="exact"/>
              <w:rPr>
                <w:rFonts w:ascii="仿宋_GB2312" w:eastAsia="仿宋_GB2312" w:hAnsi="黑体"/>
                <w:color w:val="FF0000"/>
                <w:sz w:val="22"/>
                <w:szCs w:val="32"/>
              </w:rPr>
            </w:pPr>
            <w:r w:rsidRPr="00122D79">
              <w:rPr>
                <w:rFonts w:ascii="仿宋_GB2312" w:eastAsia="仿宋_GB2312" w:hAnsi="黑体" w:hint="eastAsia"/>
                <w:color w:val="000000" w:themeColor="text1"/>
                <w:sz w:val="22"/>
                <w:szCs w:val="32"/>
              </w:rPr>
              <w:t>本科2016、2017、2018级，硕士2018级建筑学专业学生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 w:rsidRPr="00AB33ED">
              <w:rPr>
                <w:rFonts w:ascii="仿宋_GB2312" w:eastAsia="仿宋_GB2312" w:hAnsi="黑体" w:hint="eastAsia"/>
                <w:sz w:val="22"/>
                <w:szCs w:val="32"/>
              </w:rPr>
              <w:t>雅思</w:t>
            </w:r>
            <w:proofErr w:type="gramEnd"/>
            <w:r w:rsidRPr="00AB33ED">
              <w:rPr>
                <w:rFonts w:ascii="仿宋_GB2312" w:eastAsia="仿宋_GB2312" w:hAnsi="黑体" w:hint="eastAsia"/>
                <w:sz w:val="22"/>
                <w:szCs w:val="32"/>
              </w:rPr>
              <w:t>6.5分及以上，或托福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90</w:t>
            </w:r>
            <w:r w:rsidRPr="00AB33ED">
              <w:rPr>
                <w:rFonts w:ascii="仿宋_GB2312" w:eastAsia="仿宋_GB2312" w:hAnsi="黑体" w:hint="eastAsia"/>
                <w:sz w:val="22"/>
                <w:szCs w:val="32"/>
              </w:rPr>
              <w:t>分及以上</w:t>
            </w:r>
          </w:p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免学费</w:t>
            </w:r>
          </w:p>
        </w:tc>
        <w:tc>
          <w:tcPr>
            <w:tcW w:w="755" w:type="pct"/>
          </w:tcPr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0"/>
                <w:szCs w:val="32"/>
              </w:rPr>
            </w:pPr>
            <w:hyperlink r:id="rId7" w:history="1">
              <w:r w:rsidRPr="003E2092">
                <w:rPr>
                  <w:rFonts w:ascii="仿宋_GB2312" w:eastAsia="仿宋_GB2312" w:hAnsi="黑体"/>
                  <w:sz w:val="20"/>
                  <w:szCs w:val="32"/>
                </w:rPr>
                <w:t>http://www.auic.polimi.it/en/</w:t>
              </w:r>
            </w:hyperlink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hyperlink r:id="rId8" w:history="1">
              <w:r w:rsidRPr="003E2092">
                <w:rPr>
                  <w:rFonts w:ascii="仿宋_GB2312" w:eastAsia="仿宋_GB2312" w:hAnsi="黑体"/>
                  <w:sz w:val="20"/>
                  <w:szCs w:val="32"/>
                </w:rPr>
                <w:t>https://www.polimi.it/fileadmin/user_upload/International_prospective_students/Welcome_services/ARCH_v4.pdf</w:t>
              </w:r>
            </w:hyperlink>
          </w:p>
        </w:tc>
        <w:tc>
          <w:tcPr>
            <w:tcW w:w="517" w:type="pct"/>
          </w:tcPr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美国内布拉斯加大学林肯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分校学期</w:t>
            </w:r>
            <w:r w:rsidRPr="000B1EA1">
              <w:rPr>
                <w:rFonts w:ascii="仿宋_GB2312" w:eastAsia="仿宋_GB2312" w:hAnsi="黑体"/>
                <w:sz w:val="22"/>
                <w:szCs w:val="32"/>
              </w:rPr>
              <w:t>交流项目</w:t>
            </w:r>
          </w:p>
        </w:tc>
        <w:tc>
          <w:tcPr>
            <w:tcW w:w="258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300" w:lineRule="exact"/>
              <w:ind w:firstLineChars="100" w:firstLine="220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11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一学期或</w:t>
            </w:r>
            <w:proofErr w:type="gramStart"/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一</w:t>
            </w:r>
            <w:proofErr w:type="gramEnd"/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学年（自选）</w:t>
            </w:r>
          </w:p>
        </w:tc>
        <w:tc>
          <w:tcPr>
            <w:tcW w:w="64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300" w:lineRule="exact"/>
              <w:ind w:firstLineChars="100" w:firstLine="220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/>
                <w:sz w:val="22"/>
                <w:szCs w:val="32"/>
              </w:rPr>
              <w:t>建筑学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、城市规划、风景园林</w:t>
            </w:r>
          </w:p>
        </w:tc>
        <w:tc>
          <w:tcPr>
            <w:tcW w:w="713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122D79">
              <w:rPr>
                <w:rFonts w:ascii="仿宋_GB2312" w:eastAsia="仿宋_GB2312" w:hAnsi="黑体" w:hint="eastAsia"/>
                <w:sz w:val="22"/>
                <w:szCs w:val="32"/>
              </w:rPr>
              <w:t>本科2016、2017、2018级，</w:t>
            </w:r>
            <w:r w:rsidRPr="00AB33ED">
              <w:rPr>
                <w:rFonts w:ascii="仿宋_GB2312" w:eastAsia="仿宋_GB2312" w:hAnsi="黑体" w:hint="eastAsia"/>
                <w:sz w:val="22"/>
                <w:szCs w:val="32"/>
              </w:rPr>
              <w:t>硕士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2018、2019级</w:t>
            </w:r>
            <w:r w:rsidRPr="00B81281">
              <w:rPr>
                <w:rFonts w:ascii="仿宋_GB2312" w:eastAsia="仿宋_GB2312" w:hAnsi="黑体" w:hint="eastAsia"/>
                <w:sz w:val="22"/>
                <w:szCs w:val="32"/>
              </w:rPr>
              <w:t>建筑学、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</w:t>
            </w:r>
            <w:r w:rsidRPr="00B81281">
              <w:rPr>
                <w:rFonts w:ascii="仿宋_GB2312" w:eastAsia="仿宋_GB2312" w:hAnsi="黑体" w:hint="eastAsia"/>
                <w:sz w:val="22"/>
                <w:szCs w:val="32"/>
              </w:rPr>
              <w:t>规划学、风景园林学专业学生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 w:rsidRPr="005E33B9">
              <w:rPr>
                <w:rFonts w:ascii="仿宋_GB2312" w:eastAsia="仿宋_GB2312" w:hAnsi="黑体" w:hint="eastAsia"/>
                <w:sz w:val="22"/>
                <w:szCs w:val="32"/>
              </w:rPr>
              <w:t>雅思</w:t>
            </w:r>
            <w:proofErr w:type="gramEnd"/>
            <w:r w:rsidRPr="005E33B9">
              <w:rPr>
                <w:rFonts w:ascii="仿宋_GB2312" w:eastAsia="仿宋_GB2312" w:hAnsi="黑体" w:hint="eastAsia"/>
                <w:sz w:val="22"/>
                <w:szCs w:val="32"/>
              </w:rPr>
              <w:t>6.5分及以上，或托福79分及以上</w:t>
            </w: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/>
                <w:sz w:val="22"/>
                <w:szCs w:val="32"/>
              </w:rPr>
              <w:t>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27000美元/学年</w:t>
            </w:r>
          </w:p>
        </w:tc>
        <w:tc>
          <w:tcPr>
            <w:tcW w:w="755" w:type="pct"/>
          </w:tcPr>
          <w:p w:rsidR="00D86B43" w:rsidRDefault="00D86B43" w:rsidP="00D86B43">
            <w:pPr>
              <w:spacing w:line="300" w:lineRule="exact"/>
              <w:rPr>
                <w:rFonts w:ascii="仿宋_GB2312" w:eastAsia="仿宋_GB2312" w:hAnsi="黑体"/>
                <w:szCs w:val="32"/>
              </w:rPr>
            </w:pPr>
          </w:p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  <w:r w:rsidRPr="003E2092">
              <w:rPr>
                <w:rFonts w:ascii="仿宋_GB2312" w:eastAsia="仿宋_GB2312" w:hAnsi="黑体"/>
                <w:szCs w:val="32"/>
              </w:rPr>
              <w:t>https://architecture.unl.edu/</w:t>
            </w:r>
          </w:p>
        </w:tc>
        <w:tc>
          <w:tcPr>
            <w:tcW w:w="51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美国内布拉斯加大学林肯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分校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2+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2+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1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本科双学位项目</w:t>
            </w:r>
          </w:p>
        </w:tc>
        <w:tc>
          <w:tcPr>
            <w:tcW w:w="258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13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2年</w:t>
            </w:r>
          </w:p>
        </w:tc>
        <w:tc>
          <w:tcPr>
            <w:tcW w:w="647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Design in Architecture or Landscape Architecture</w:t>
            </w:r>
          </w:p>
        </w:tc>
        <w:tc>
          <w:tcPr>
            <w:tcW w:w="713" w:type="pct"/>
          </w:tcPr>
          <w:p w:rsidR="00D86B43" w:rsidRDefault="00D86B43" w:rsidP="00B67F31">
            <w:pPr>
              <w:spacing w:line="300" w:lineRule="exact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本科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2018级</w:t>
            </w:r>
            <w:r w:rsidRPr="00BA1EE9">
              <w:rPr>
                <w:rFonts w:ascii="仿宋_GB2312" w:eastAsia="仿宋_GB2312" w:hAnsi="黑体" w:hint="eastAsia"/>
                <w:sz w:val="22"/>
                <w:szCs w:val="32"/>
              </w:rPr>
              <w:t>建筑学、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</w:t>
            </w:r>
            <w:r w:rsidRPr="00BA1EE9">
              <w:rPr>
                <w:rFonts w:ascii="仿宋_GB2312" w:eastAsia="仿宋_GB2312" w:hAnsi="黑体" w:hint="eastAsia"/>
                <w:sz w:val="22"/>
                <w:szCs w:val="32"/>
              </w:rPr>
              <w:t>规划学、风景园林学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专业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3D36FE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>
              <w:rPr>
                <w:rFonts w:ascii="仿宋_GB2312" w:eastAsia="仿宋_GB2312" w:hAnsi="黑体"/>
                <w:sz w:val="22"/>
                <w:szCs w:val="32"/>
              </w:rPr>
              <w:t>雅思</w:t>
            </w:r>
            <w:proofErr w:type="gramEnd"/>
            <w:r>
              <w:rPr>
                <w:rFonts w:ascii="仿宋_GB2312" w:eastAsia="仿宋_GB2312" w:hAnsi="黑体" w:hint="eastAsia"/>
                <w:sz w:val="22"/>
                <w:szCs w:val="32"/>
              </w:rPr>
              <w:t>6.5分及以上，或托福79分及以上</w:t>
            </w: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/>
                <w:sz w:val="22"/>
                <w:szCs w:val="32"/>
              </w:rPr>
              <w:t>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32586美元/学年，有机会申请外方奖学金</w:t>
            </w:r>
          </w:p>
        </w:tc>
        <w:tc>
          <w:tcPr>
            <w:tcW w:w="755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https://architecture.unl.edu/</w:t>
            </w:r>
          </w:p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</w:tc>
        <w:tc>
          <w:tcPr>
            <w:tcW w:w="517" w:type="pct"/>
          </w:tcPr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学生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完成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美方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课程及毕业论文、达到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美方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毕业要求，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将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获得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美方大学学士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学位</w:t>
            </w: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英国卡迪夫大学1+1+1硕士双学位项目</w:t>
            </w:r>
          </w:p>
        </w:tc>
        <w:tc>
          <w:tcPr>
            <w:tcW w:w="258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5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1年</w:t>
            </w:r>
          </w:p>
        </w:tc>
        <w:tc>
          <w:tcPr>
            <w:tcW w:w="64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  <w:p w:rsidR="00D86B43" w:rsidRDefault="00D86B43" w:rsidP="00D86B43">
            <w:pPr>
              <w:spacing w:line="300" w:lineRule="exact"/>
              <w:rPr>
                <w:rFonts w:ascii="仿宋_GB2312" w:eastAsia="仿宋_GB2312" w:hAnsi="黑体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Cs w:val="32"/>
              </w:rPr>
              <w:t>城市规划或地理相关专业</w:t>
            </w:r>
          </w:p>
        </w:tc>
        <w:tc>
          <w:tcPr>
            <w:tcW w:w="713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硕士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2019级</w:t>
            </w:r>
            <w:r w:rsidRPr="00810A79">
              <w:rPr>
                <w:rFonts w:ascii="仿宋_GB2312" w:eastAsia="仿宋_GB2312" w:hAnsi="黑体" w:hint="eastAsia"/>
                <w:sz w:val="22"/>
                <w:szCs w:val="32"/>
              </w:rPr>
              <w:t>建筑学、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</w:t>
            </w:r>
            <w:r w:rsidRPr="00810A79">
              <w:rPr>
                <w:rFonts w:ascii="仿宋_GB2312" w:eastAsia="仿宋_GB2312" w:hAnsi="黑体" w:hint="eastAsia"/>
                <w:sz w:val="22"/>
                <w:szCs w:val="32"/>
              </w:rPr>
              <w:t>规划学、风景园林学专业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>
              <w:rPr>
                <w:rFonts w:ascii="仿宋_GB2312" w:eastAsia="仿宋_GB2312" w:hAnsi="黑体"/>
                <w:sz w:val="22"/>
                <w:szCs w:val="32"/>
              </w:rPr>
              <w:t>雅思</w:t>
            </w:r>
            <w:proofErr w:type="gramEnd"/>
            <w:r>
              <w:rPr>
                <w:rFonts w:ascii="仿宋_GB2312" w:eastAsia="仿宋_GB2312" w:hAnsi="黑体" w:hint="eastAsia"/>
                <w:sz w:val="22"/>
                <w:szCs w:val="32"/>
              </w:rPr>
              <w:t>6.5分及以上，单项分不低于5.5分</w:t>
            </w: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E206D0" w:rsidRDefault="00D86B43" w:rsidP="00D86B43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约19450英镑(我院学生可享受10%的学费减免)</w:t>
            </w:r>
          </w:p>
        </w:tc>
        <w:tc>
          <w:tcPr>
            <w:tcW w:w="755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https://www.cardiff.ac.uk/geography-planning</w:t>
            </w:r>
          </w:p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https://www.cardiff.ac.uk/geography-planning/courses/postgraduate-taught</w:t>
            </w:r>
          </w:p>
        </w:tc>
        <w:tc>
          <w:tcPr>
            <w:tcW w:w="51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学生完成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英方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课程及毕业论文、达到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英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方毕业要求，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将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获得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英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方大学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硕士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学位</w:t>
            </w:r>
          </w:p>
        </w:tc>
      </w:tr>
      <w:tr w:rsidR="00D86B43" w:rsidRPr="00827AB8" w:rsidTr="00D86B43">
        <w:tc>
          <w:tcPr>
            <w:tcW w:w="60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美国佛罗里达大学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1+1+1硕士双学位项目</w:t>
            </w:r>
          </w:p>
        </w:tc>
        <w:tc>
          <w:tcPr>
            <w:tcW w:w="258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5</w:t>
            </w:r>
          </w:p>
        </w:tc>
        <w:tc>
          <w:tcPr>
            <w:tcW w:w="43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1年</w:t>
            </w:r>
          </w:p>
        </w:tc>
        <w:tc>
          <w:tcPr>
            <w:tcW w:w="647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Sustainable Design</w:t>
            </w:r>
          </w:p>
        </w:tc>
        <w:tc>
          <w:tcPr>
            <w:tcW w:w="713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硕士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2019级</w:t>
            </w:r>
            <w:r w:rsidRPr="00810A79">
              <w:rPr>
                <w:rFonts w:ascii="仿宋_GB2312" w:eastAsia="仿宋_GB2312" w:hAnsi="黑体" w:hint="eastAsia"/>
                <w:sz w:val="22"/>
                <w:szCs w:val="32"/>
              </w:rPr>
              <w:t>建筑学、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</w:t>
            </w:r>
            <w:r w:rsidRPr="00810A79">
              <w:rPr>
                <w:rFonts w:ascii="仿宋_GB2312" w:eastAsia="仿宋_GB2312" w:hAnsi="黑体" w:hint="eastAsia"/>
                <w:sz w:val="22"/>
                <w:szCs w:val="32"/>
              </w:rPr>
              <w:t>规划学、风景园林学专业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学生</w:t>
            </w:r>
          </w:p>
        </w:tc>
        <w:tc>
          <w:tcPr>
            <w:tcW w:w="574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 w:hint="eastAsia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>
              <w:rPr>
                <w:rFonts w:ascii="仿宋_GB2312" w:eastAsia="仿宋_GB2312" w:hAnsi="黑体"/>
                <w:sz w:val="22"/>
                <w:szCs w:val="32"/>
              </w:rPr>
              <w:t>雅思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6分</w:t>
            </w:r>
            <w:proofErr w:type="gramEnd"/>
            <w:r>
              <w:rPr>
                <w:rFonts w:ascii="仿宋_GB2312" w:eastAsia="仿宋_GB2312" w:hAnsi="黑体" w:hint="eastAsia"/>
                <w:sz w:val="22"/>
                <w:szCs w:val="32"/>
              </w:rPr>
              <w:t>及以上，或托福80分及以上；GRE总分不低于300，其中语言分不低于140</w:t>
            </w:r>
            <w:r w:rsidRPr="000B1EA1">
              <w:rPr>
                <w:rFonts w:ascii="仿宋_GB2312" w:eastAsia="仿宋_GB2312" w:hAnsi="黑体"/>
                <w:sz w:val="22"/>
                <w:szCs w:val="32"/>
              </w:rPr>
              <w:t xml:space="preserve"> </w:t>
            </w:r>
          </w:p>
        </w:tc>
        <w:tc>
          <w:tcPr>
            <w:tcW w:w="501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/>
                <w:sz w:val="22"/>
                <w:szCs w:val="32"/>
              </w:rPr>
              <w:t>美方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大学</w:t>
            </w:r>
            <w:r>
              <w:rPr>
                <w:rFonts w:ascii="仿宋_GB2312" w:eastAsia="仿宋_GB2312" w:hAnsi="黑体"/>
                <w:sz w:val="22"/>
                <w:szCs w:val="32"/>
              </w:rPr>
              <w:t>为我院学生提供奖学金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，</w:t>
            </w:r>
            <w:r>
              <w:rPr>
                <w:rFonts w:ascii="仿宋_GB2312" w:eastAsia="仿宋_GB2312" w:hAnsi="黑体"/>
                <w:sz w:val="22"/>
                <w:szCs w:val="32"/>
              </w:rPr>
              <w:t>减免后约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20600美元</w:t>
            </w:r>
          </w:p>
        </w:tc>
        <w:tc>
          <w:tcPr>
            <w:tcW w:w="755" w:type="pct"/>
          </w:tcPr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  <w:p w:rsidR="00D86B43" w:rsidRDefault="00D86B43" w:rsidP="00B67F31">
            <w:pPr>
              <w:spacing w:line="300" w:lineRule="exact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https://dcp.ufl.edu/</w:t>
            </w:r>
          </w:p>
          <w:p w:rsidR="00D86B43" w:rsidRDefault="00D86B43" w:rsidP="00B67F31">
            <w:pPr>
              <w:spacing w:line="300" w:lineRule="exact"/>
              <w:rPr>
                <w:rFonts w:ascii="仿宋_GB2312" w:eastAsia="仿宋_GB2312" w:hAnsi="黑体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  <w:r>
              <w:rPr>
                <w:rFonts w:ascii="仿宋_GB2312" w:eastAsia="仿宋_GB2312" w:hAnsi="黑体" w:hint="eastAsia"/>
                <w:szCs w:val="32"/>
              </w:rPr>
              <w:t>http://sustainable.dcp.ufl.edu</w:t>
            </w:r>
          </w:p>
          <w:p w:rsidR="00D86B43" w:rsidRPr="003E2092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Cs w:val="32"/>
              </w:rPr>
            </w:pPr>
          </w:p>
        </w:tc>
        <w:tc>
          <w:tcPr>
            <w:tcW w:w="517" w:type="pct"/>
          </w:tcPr>
          <w:p w:rsidR="00D86B43" w:rsidRDefault="00D86B43" w:rsidP="00D86B43">
            <w:pPr>
              <w:spacing w:line="300" w:lineRule="exact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学生完成美方课程及毕业论文、达到美方毕业要求，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将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获得美方大学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硕士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学位</w:t>
            </w:r>
          </w:p>
          <w:p w:rsidR="00D86B43" w:rsidRPr="000B1EA1" w:rsidRDefault="00D86B43" w:rsidP="00B67F31">
            <w:pPr>
              <w:spacing w:line="300" w:lineRule="exac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</w:tc>
      </w:tr>
      <w:tr w:rsidR="00D86B43" w:rsidRPr="00827AB8" w:rsidTr="00D86B43">
        <w:tc>
          <w:tcPr>
            <w:tcW w:w="604" w:type="pct"/>
          </w:tcPr>
          <w:p w:rsidR="00D86B43" w:rsidRPr="000B1EA1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美国威斯康辛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大学</w:t>
            </w:r>
            <w:r w:rsidRPr="000B1EA1">
              <w:rPr>
                <w:rFonts w:ascii="仿宋_GB2312" w:eastAsia="仿宋_GB2312" w:hAnsi="黑体"/>
                <w:sz w:val="22"/>
                <w:szCs w:val="32"/>
              </w:rPr>
              <w:t>密尔沃基分校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1+1.5+0.5硕士双学位项目</w:t>
            </w:r>
          </w:p>
        </w:tc>
        <w:tc>
          <w:tcPr>
            <w:tcW w:w="258" w:type="pct"/>
          </w:tcPr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5</w:t>
            </w:r>
          </w:p>
        </w:tc>
        <w:tc>
          <w:tcPr>
            <w:tcW w:w="431" w:type="pct"/>
          </w:tcPr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1.5年</w:t>
            </w:r>
          </w:p>
        </w:tc>
        <w:tc>
          <w:tcPr>
            <w:tcW w:w="647" w:type="pct"/>
          </w:tcPr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20" w:lineRule="atLeast"/>
              <w:ind w:firstLineChars="100" w:firstLine="220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/>
                <w:sz w:val="22"/>
                <w:szCs w:val="32"/>
              </w:rPr>
              <w:t>城市规划</w:t>
            </w:r>
          </w:p>
        </w:tc>
        <w:tc>
          <w:tcPr>
            <w:tcW w:w="713" w:type="pct"/>
          </w:tcPr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 w:rsidRPr="000B1EA1">
              <w:rPr>
                <w:rFonts w:ascii="仿宋_GB2312" w:eastAsia="仿宋_GB2312" w:hAnsi="黑体"/>
                <w:sz w:val="22"/>
                <w:szCs w:val="32"/>
              </w:rPr>
              <w:t>硕士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2019级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城乡规划学专业</w:t>
            </w:r>
            <w:r w:rsidRPr="000B1EA1">
              <w:rPr>
                <w:rFonts w:ascii="仿宋_GB2312" w:eastAsia="仿宋_GB2312" w:hAnsi="黑体" w:hint="eastAsia"/>
                <w:sz w:val="22"/>
                <w:szCs w:val="32"/>
              </w:rPr>
              <w:t>学生</w:t>
            </w:r>
          </w:p>
        </w:tc>
        <w:tc>
          <w:tcPr>
            <w:tcW w:w="574" w:type="pct"/>
          </w:tcPr>
          <w:p w:rsidR="00D86B43" w:rsidRPr="00565B3C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proofErr w:type="gramStart"/>
            <w:r>
              <w:rPr>
                <w:rFonts w:ascii="仿宋_GB2312" w:eastAsia="仿宋_GB2312" w:hAnsi="黑体"/>
                <w:sz w:val="22"/>
                <w:szCs w:val="32"/>
              </w:rPr>
              <w:t>雅思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7分</w:t>
            </w:r>
            <w:proofErr w:type="gramEnd"/>
            <w:r>
              <w:rPr>
                <w:rFonts w:ascii="仿宋_GB2312" w:eastAsia="仿宋_GB2312" w:hAnsi="黑体" w:hint="eastAsia"/>
                <w:sz w:val="22"/>
                <w:szCs w:val="32"/>
              </w:rPr>
              <w:t>及以上，或托福100分及以上；具有GRE成绩</w:t>
            </w:r>
          </w:p>
        </w:tc>
        <w:tc>
          <w:tcPr>
            <w:tcW w:w="501" w:type="pct"/>
          </w:tcPr>
          <w:p w:rsidR="00D86B43" w:rsidRDefault="00D86B43" w:rsidP="00D86B43">
            <w:pPr>
              <w:spacing w:line="20" w:lineRule="atLeast"/>
              <w:rPr>
                <w:rFonts w:ascii="仿宋_GB2312" w:eastAsia="仿宋_GB2312" w:hAnsi="黑体"/>
                <w:sz w:val="22"/>
                <w:szCs w:val="32"/>
              </w:rPr>
            </w:pPr>
          </w:p>
          <w:p w:rsidR="00D86B43" w:rsidRPr="000B1EA1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 w:val="22"/>
                <w:szCs w:val="32"/>
              </w:rPr>
            </w:pPr>
            <w:r>
              <w:rPr>
                <w:rFonts w:ascii="仿宋_GB2312" w:eastAsia="仿宋_GB2312" w:hAnsi="黑体" w:hint="eastAsia"/>
                <w:sz w:val="22"/>
                <w:szCs w:val="32"/>
              </w:rPr>
              <w:t>约25282美元/学年</w:t>
            </w:r>
          </w:p>
        </w:tc>
        <w:tc>
          <w:tcPr>
            <w:tcW w:w="755" w:type="pct"/>
          </w:tcPr>
          <w:p w:rsidR="00D86B43" w:rsidRDefault="00D86B43" w:rsidP="00D86B43">
            <w:pPr>
              <w:spacing w:line="20" w:lineRule="atLeast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http://uwm.edu/sarup/</w:t>
            </w:r>
          </w:p>
          <w:p w:rsidR="00D86B43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Cs w:val="32"/>
              </w:rPr>
            </w:pPr>
          </w:p>
          <w:p w:rsidR="00D86B43" w:rsidRPr="003E2092" w:rsidRDefault="00D86B43" w:rsidP="00D86B43">
            <w:pPr>
              <w:spacing w:line="20" w:lineRule="atLeast"/>
              <w:jc w:val="center"/>
              <w:rPr>
                <w:rFonts w:ascii="仿宋_GB2312" w:eastAsia="仿宋_GB2312" w:hAnsi="黑体"/>
                <w:szCs w:val="32"/>
              </w:rPr>
            </w:pPr>
            <w:r w:rsidRPr="00D327E8">
              <w:rPr>
                <w:rFonts w:ascii="仿宋_GB2312" w:eastAsia="仿宋_GB2312" w:hAnsi="黑体"/>
                <w:szCs w:val="32"/>
              </w:rPr>
              <w:t>https://uwm.edu/sarup/urban-planning/mup/application/</w:t>
            </w:r>
          </w:p>
        </w:tc>
        <w:tc>
          <w:tcPr>
            <w:tcW w:w="517" w:type="pct"/>
          </w:tcPr>
          <w:p w:rsidR="00D86B43" w:rsidRPr="000B1EA1" w:rsidRDefault="00D86B43" w:rsidP="00D86B43">
            <w:pPr>
              <w:spacing w:line="20" w:lineRule="atLeast"/>
              <w:rPr>
                <w:rFonts w:ascii="仿宋_GB2312" w:eastAsia="仿宋_GB2312" w:hAnsi="黑体"/>
                <w:sz w:val="22"/>
                <w:szCs w:val="32"/>
              </w:rPr>
            </w:pP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学生完成美方课程及毕业论文、达到美方毕业要求，</w:t>
            </w:r>
            <w:r>
              <w:rPr>
                <w:rFonts w:ascii="仿宋_GB2312" w:eastAsia="仿宋_GB2312" w:hAnsi="黑体" w:hint="eastAsia"/>
                <w:sz w:val="22"/>
                <w:szCs w:val="32"/>
              </w:rPr>
              <w:t>将</w:t>
            </w:r>
            <w:r w:rsidRPr="00DA5EC2">
              <w:rPr>
                <w:rFonts w:ascii="仿宋_GB2312" w:eastAsia="仿宋_GB2312" w:hAnsi="黑体" w:hint="eastAsia"/>
                <w:sz w:val="22"/>
                <w:szCs w:val="32"/>
              </w:rPr>
              <w:t>获得美方大学硕士学位</w:t>
            </w:r>
          </w:p>
        </w:tc>
      </w:tr>
    </w:tbl>
    <w:p w:rsidR="00103658" w:rsidRPr="00D86B43" w:rsidRDefault="00103658" w:rsidP="00D86B43">
      <w:pPr>
        <w:spacing w:line="20" w:lineRule="atLeast"/>
      </w:pPr>
      <w:bookmarkStart w:id="0" w:name="_GoBack"/>
      <w:bookmarkEnd w:id="0"/>
    </w:p>
    <w:sectPr w:rsidR="00103658" w:rsidRPr="00D86B43" w:rsidSect="00D86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FC" w:rsidRDefault="004F23FC" w:rsidP="00D86B43">
      <w:r>
        <w:separator/>
      </w:r>
    </w:p>
  </w:endnote>
  <w:endnote w:type="continuationSeparator" w:id="0">
    <w:p w:rsidR="004F23FC" w:rsidRDefault="004F23FC" w:rsidP="00D8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FC" w:rsidRDefault="004F23FC" w:rsidP="00D86B43">
      <w:r>
        <w:separator/>
      </w:r>
    </w:p>
  </w:footnote>
  <w:footnote w:type="continuationSeparator" w:id="0">
    <w:p w:rsidR="004F23FC" w:rsidRDefault="004F23FC" w:rsidP="00D8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F7"/>
    <w:rsid w:val="00103658"/>
    <w:rsid w:val="004F23FC"/>
    <w:rsid w:val="00610FF7"/>
    <w:rsid w:val="00D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B43"/>
    <w:rPr>
      <w:sz w:val="18"/>
      <w:szCs w:val="18"/>
    </w:rPr>
  </w:style>
  <w:style w:type="table" w:styleId="a5">
    <w:name w:val="Table Grid"/>
    <w:basedOn w:val="a1"/>
    <w:uiPriority w:val="59"/>
    <w:rsid w:val="00D8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B43"/>
    <w:rPr>
      <w:sz w:val="18"/>
      <w:szCs w:val="18"/>
    </w:rPr>
  </w:style>
  <w:style w:type="table" w:styleId="a5">
    <w:name w:val="Table Grid"/>
    <w:basedOn w:val="a1"/>
    <w:uiPriority w:val="59"/>
    <w:rsid w:val="00D8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mi.it/fileadmin/user_upload/International_prospective_students/Welcome_services/ARCH_v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ic.polimi.it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</dc:creator>
  <cp:keywords/>
  <dc:description/>
  <cp:lastModifiedBy>CQU</cp:lastModifiedBy>
  <cp:revision>2</cp:revision>
  <dcterms:created xsi:type="dcterms:W3CDTF">2020-04-24T09:07:00Z</dcterms:created>
  <dcterms:modified xsi:type="dcterms:W3CDTF">2020-04-24T09:10:00Z</dcterms:modified>
</cp:coreProperties>
</file>